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bd1dc"/>
        <w:tblLayout w:type="fixed"/>
      </w:tblPr>
      <w:tblGrid>
        <w:gridCol w:w="3642"/>
        <w:gridCol w:w="3642"/>
        <w:gridCol w:w="3642"/>
        <w:gridCol w:w="3642"/>
      </w:tblGrid>
      <w:tr>
        <w:tblPrEx>
          <w:shd w:val="clear" w:color="auto" w:fill="cbd1dc"/>
        </w:tblPrEx>
        <w:trPr>
          <w:trHeight w:val="978" w:hRule="atLeast"/>
        </w:trPr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Баллы</w:t>
            </w:r>
          </w:p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Решение коммуникативной задачи</w:t>
            </w:r>
          </w:p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Организация текста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Языковое оформление текста</w:t>
            </w:r>
          </w:p>
        </w:tc>
      </w:tr>
      <w:tr>
        <w:tblPrEx>
          <w:shd w:val="clear" w:color="auto" w:fill="cbd1dc"/>
        </w:tblPrEx>
        <w:trPr>
          <w:trHeight w:val="338" w:hRule="atLeast"/>
        </w:trPr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bd1dc"/>
        </w:tblPrEx>
        <w:trPr>
          <w:trHeight w:val="3538" w:hRule="atLeast"/>
        </w:trPr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Задание выполнено полностью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содержание отражает полно и точно все аспекты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указанные в задании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стилевое оформление речи выбрано правильно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статья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Высказывание логично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средства логической связи использованы правильно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струтура текста соответствует предложенному плану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Текст разделен на абзацы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 больше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Используемый словарный запас соответствует высокому уровню сложности задания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;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практически нет нарушений в использовании лексики 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допускается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лексическая ошибка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5-6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классах возможны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1-3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ошибки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bd1dc"/>
        </w:tblPrEx>
        <w:trPr>
          <w:trHeight w:val="4178" w:hRule="atLeast"/>
        </w:trPr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Задание выполнено в основном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1-2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аспекта содержания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указанные в задании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раскрыты не полностью или неточно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стилевое оформление речи в основном правильно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допускается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2-3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нарушения  стиля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Высказывание в основном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логично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имеются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1-2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логические ошибки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ИЛИ имеются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1-2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недостатка при использовании средств логической связи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ИЛИ имеются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1-2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отклонения от плана в структуре высказывания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Используемый словарный запас соответствует высокому уровню сложности задания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однако встречаются 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2-3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лексические ошибки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ИЛИ словарный ограничен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но лексика использована правильно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5-6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классах возможны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4-5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ошибок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bd1dc"/>
        </w:tblPrEx>
        <w:trPr>
          <w:trHeight w:val="3538" w:hRule="atLeast"/>
        </w:trPr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Задание выполнено не полностью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содержании не раскрыты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1-2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аспекта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;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имеются ошибки в стилевом оформлении речи</w:t>
            </w:r>
          </w:p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Высказывание не всегда логично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есть значительные отклонения от предложенного плана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имеются многочисленные ошибки в использовании средств логической связи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их выбор ограничен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Нет деления на абзацы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Используемый словарный запас не вполне соответствует высокому уровню сложности задания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тексте имеются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лексические ошибки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5-6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классах возможны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6-7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ошибок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bd1dc"/>
        </w:tblPrEx>
        <w:trPr>
          <w:trHeight w:val="3538" w:hRule="atLeast"/>
        </w:trPr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Задание не выполнено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 содержании не раскрыты все аспекты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ИЛИ все аспекты раскрыты неполно или неточно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ИЛИ ответ не соответствует требуемому объёму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возможно отступление в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15%).</w:t>
            </w:r>
          </w:p>
        </w:tc>
        <w:tc>
          <w:tcPr>
            <w:tcW w:type="dxa" w:w="3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высказывании имеются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 более логических ошибок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ИЛИ имеются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 более ошибок в использовании средств логической связи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ИЛИ предложенный план ответа полностью не соблюдается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Используемый словарный запас не соответствует высокому уровню сложности задания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 в тексте имеются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и более лексических ошибок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5-6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классах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- 8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 больше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line="240" w:lineRule="auto"/>
        <w:ind w:left="216" w:hanging="216"/>
      </w:pPr>
    </w:p>
    <w:p>
      <w:pPr>
        <w:pStyle w:val="Normal.0"/>
        <w:widowControl w:val="0"/>
        <w:spacing w:line="240" w:lineRule="auto"/>
        <w:ind w:left="108" w:hanging="108"/>
      </w:pP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072"/>
        </w:tabs>
      </w:pPr>
    </w:p>
    <w:p>
      <w:pPr>
        <w:pStyle w:val="Normal.0"/>
      </w:pPr>
    </w:p>
    <w:tbl>
      <w:tblPr>
        <w:tblW w:w="145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bd1dc"/>
        <w:tblLayout w:type="fixed"/>
      </w:tblPr>
      <w:tblGrid>
        <w:gridCol w:w="1824"/>
        <w:gridCol w:w="6212"/>
        <w:gridCol w:w="6530"/>
      </w:tblGrid>
      <w:tr>
        <w:tblPrEx>
          <w:shd w:val="clear" w:color="auto" w:fill="cbd1dc"/>
        </w:tblPrEx>
        <w:trPr>
          <w:trHeight w:val="338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Баллы</w:t>
            </w:r>
          </w:p>
        </w:tc>
        <w:tc>
          <w:tcPr>
            <w:tcW w:type="dxa" w:w="6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602"/>
              </w:tabs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Грамматика</w:t>
            </w:r>
          </w:p>
        </w:tc>
        <w:tc>
          <w:tcPr>
            <w:tcW w:type="dxa" w:w="6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Орфография и пунктуация</w:t>
            </w:r>
          </w:p>
        </w:tc>
      </w:tr>
      <w:tr>
        <w:tblPrEx>
          <w:shd w:val="clear" w:color="auto" w:fill="cbd1dc"/>
        </w:tblPrEx>
        <w:trPr>
          <w:trHeight w:val="338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6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bd1dc"/>
        </w:tblPrEx>
        <w:trPr>
          <w:trHeight w:val="1618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6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Используемые грамматические средства соответствуют высокому уровню сложности задания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 нарушений практически нет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допускаются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1-2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не повторяющиеся грамматические ошибки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6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Орфографические ошибки отсутствуют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практически отсутствуют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 Текст разделён на предложения с правильным пунктуационным оформлением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допускаются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орфографическая 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ИЛИ 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пунктуационная ошибка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bd1dc"/>
        </w:tblPrEx>
        <w:trPr>
          <w:trHeight w:val="1618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6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Используемые грамматические средства соответствуют высокому уровню сложности задания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однако в тексте имеются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3-4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грамматические ошибки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Орфографические ошибки практически отсутствуют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 Текст разделён на предложения с правильным пунктуационным оформлением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допускаются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2-3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орфографических 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ИЛИ 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2-3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пунктуационных ошибок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bd1dc"/>
        </w:tblPrEx>
        <w:trPr>
          <w:trHeight w:val="1298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6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Используемые грамматические средства не вполне соответствуют высокому уровню сложности задания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 в тексте имеются 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5-7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грамматических ошибок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тексте имеются 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4-5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орфографические 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ИЛИ пунктуационные ошибки</w:t>
            </w:r>
          </w:p>
        </w:tc>
      </w:tr>
      <w:tr>
        <w:tblPrEx>
          <w:shd w:val="clear" w:color="auto" w:fill="cbd1dc"/>
        </w:tblPrEx>
        <w:trPr>
          <w:trHeight w:val="1298" w:hRule="atLeast"/>
        </w:trPr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6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Используемые грамматические средства не соответствуют высокому уровню сложности задания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имеются 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 более грамматических ошибок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 тексте имеются 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 более орфографических 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ИЛИ пунктуационных ошибок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  <w:shd w:val="clear" w:color="auto" w:fill="00ff00"/>
        </w:rPr>
      </w:pP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*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 xml:space="preserve">Максимальный балл за работу 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- 15.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  <w:shd w:val="clear" w:color="auto" w:fill="00ff00"/>
        </w:rPr>
      </w:pP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*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Если по К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 xml:space="preserve">работа оценивается в 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0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 xml:space="preserve">то вся работа получает 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0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  <w:shd w:val="clear" w:color="auto" w:fill="00ff00"/>
        </w:rPr>
      </w:pP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*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 xml:space="preserve">Работа оценивается в 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0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если необходимый объем текста выше или ниже необходимого минимума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 xml:space="preserve">Допускается отклонение от объема в 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15%.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  <w:shd w:val="clear" w:color="auto" w:fill="00ff00"/>
        </w:rPr>
      </w:pP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5-6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класс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мин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. - 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85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 xml:space="preserve"> слов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макс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. - 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173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 xml:space="preserve"> слов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  <w:shd w:val="clear" w:color="auto" w:fill="00ff00"/>
        </w:rPr>
      </w:pP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7-9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класс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мин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. - 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128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 xml:space="preserve"> слов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макс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. - 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215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 xml:space="preserve"> слов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.</w:t>
      </w:r>
    </w:p>
    <w:p>
      <w:pPr>
        <w:pStyle w:val="Normal.0"/>
      </w:pP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10-11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класс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мин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. - 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170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>макс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. - 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>288</w:t>
      </w:r>
      <w:r>
        <w:rPr>
          <w:rFonts w:ascii="Times New Roman" w:hAnsi="Times New Roman" w:hint="default"/>
          <w:sz w:val="28"/>
          <w:szCs w:val="28"/>
          <w:shd w:val="clear" w:color="auto" w:fill="00ff00"/>
          <w:rtl w:val="0"/>
          <w:lang w:val="ru-RU"/>
        </w:rPr>
        <w:t xml:space="preserve"> слов</w:t>
      </w:r>
      <w:r>
        <w:rPr>
          <w:rFonts w:ascii="Times New Roman" w:hAnsi="Times New Roman"/>
          <w:sz w:val="28"/>
          <w:szCs w:val="28"/>
          <w:shd w:val="clear" w:color="auto" w:fill="00ff00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6840" w:h="11900" w:orient="landscape"/>
      <w:pgMar w:top="1701" w:right="1134" w:bottom="85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Hancom Office">
  <a:themeElements>
    <a:clrScheme name="Hancom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FF00FF"/>
      </a:folHlink>
    </a:clrScheme>
    <a:fontScheme name="Hancom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